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72A2E272" w:rsidR="000417E2" w:rsidRPr="00BB60E7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D80224" w:rsidRPr="0083478A">
        <w:rPr>
          <w:rFonts w:ascii="Times New Roman" w:hAnsi="Times New Roman"/>
          <w:sz w:val="28"/>
          <w:szCs w:val="28"/>
          <w:lang w:val="en-GB"/>
        </w:rPr>
        <w:t>RORS00061–LP–TD03</w:t>
      </w:r>
      <w:r w:rsidR="007A3E71" w:rsidRPr="007A3E71">
        <w:rPr>
          <w:rFonts w:ascii="Times New Roman" w:hAnsi="Times New Roman"/>
          <w:sz w:val="28"/>
          <w:szCs w:val="28"/>
          <w:lang w:val="en-GB"/>
        </w:rPr>
        <w:t>/L2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0E121115" w14:textId="77777777" w:rsidR="00D80224" w:rsidRPr="009038DF" w:rsidRDefault="00D80224" w:rsidP="00D80224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66260AC0" w14:textId="77777777" w:rsidR="00D80224" w:rsidRPr="009038DF" w:rsidRDefault="00D80224" w:rsidP="00D80224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2F3FE082" w14:textId="5C774376" w:rsidR="00AB471B" w:rsidRPr="006A39C0" w:rsidRDefault="00D80224" w:rsidP="00D80224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3E6A9F0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D80224" w:rsidRPr="0083478A">
        <w:rPr>
          <w:rFonts w:ascii="Times New Roman" w:hAnsi="Times New Roman"/>
          <w:b/>
          <w:sz w:val="28"/>
          <w:lang w:val="en-GB"/>
        </w:rPr>
        <w:t>Procurement of Fire truck and Firefighting equipment for project FIREGUARD</w:t>
      </w:r>
    </w:p>
    <w:p w14:paraId="62B2CF4C" w14:textId="61FE50D7" w:rsidR="004D2FD8" w:rsidRPr="007A3E7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7A3E71">
        <w:rPr>
          <w:rFonts w:ascii="Times New Roman" w:hAnsi="Times New Roman"/>
          <w:b/>
          <w:sz w:val="22"/>
          <w:lang w:val="en-GB"/>
        </w:rPr>
        <w:t xml:space="preserve">number </w:t>
      </w:r>
      <w:r w:rsidR="00D80224" w:rsidRPr="00D80224">
        <w:rPr>
          <w:rFonts w:ascii="Times New Roman" w:hAnsi="Times New Roman"/>
          <w:b/>
          <w:sz w:val="22"/>
          <w:lang w:val="en-GB"/>
        </w:rPr>
        <w:t>RORS00061–LP–TD03</w:t>
      </w:r>
      <w:r w:rsidR="007A3E71" w:rsidRPr="007A3E71">
        <w:rPr>
          <w:rFonts w:ascii="Times New Roman" w:hAnsi="Times New Roman"/>
          <w:b/>
          <w:sz w:val="22"/>
          <w:lang w:val="en-GB"/>
        </w:rPr>
        <w:t>/L2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035FBB1B" w14:textId="7D1A38E1" w:rsidR="006A39C0" w:rsidRDefault="006A39C0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  <w:r>
        <w:rPr>
          <w:rFonts w:ascii="Times New Roman" w:hAnsi="Times New Roman"/>
          <w:b/>
          <w:sz w:val="22"/>
          <w:szCs w:val="22"/>
          <w:u w:val="single"/>
        </w:rPr>
        <w:t xml:space="preserve">LOT 2 </w:t>
      </w:r>
      <w:r w:rsidR="00AC7804" w:rsidRPr="003B63FA">
        <w:rPr>
          <w:rFonts w:ascii="Times New Roman" w:hAnsi="Times New Roman"/>
          <w:b/>
          <w:sz w:val="22"/>
          <w:szCs w:val="22"/>
          <w:u w:val="single"/>
        </w:rPr>
        <w:t>–</w:t>
      </w:r>
      <w:r w:rsidRPr="003B63FA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bookmarkEnd w:id="2"/>
      <w:r w:rsidR="00AC7804" w:rsidRPr="003B63FA">
        <w:rPr>
          <w:rFonts w:ascii="Times New Roman" w:hAnsi="Times New Roman"/>
          <w:b/>
          <w:sz w:val="22"/>
          <w:szCs w:val="22"/>
          <w:u w:val="single"/>
        </w:rPr>
        <w:t>Firefighting equipment</w:t>
      </w:r>
    </w:p>
    <w:p w14:paraId="0A999B68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6A39C0" w14:paraId="5C36F64F" w14:textId="77777777" w:rsidTr="00D80224">
        <w:trPr>
          <w:trHeight w:val="34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41EB98C8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10CBF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2B7E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D80224" w14:paraId="39FA137C" w14:textId="77777777" w:rsidTr="00D80224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40E3D" w14:textId="6429DA58" w:rsidR="00D80224" w:rsidRDefault="00D80224" w:rsidP="00D80224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1653" w14:textId="04B663FE" w:rsidR="00D80224" w:rsidRDefault="00D80224" w:rsidP="00D80224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C4F93">
              <w:rPr>
                <w:rFonts w:ascii="Times New Roman" w:hAnsi="Times New Roman"/>
                <w:b/>
                <w:bCs/>
                <w:sz w:val="22"/>
                <w:szCs w:val="22"/>
              </w:rPr>
              <w:t>Protective uniform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C31AB" w14:textId="3BF133C5" w:rsidR="00D80224" w:rsidRDefault="00D80224" w:rsidP="00D80224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>5 Units</w:t>
            </w:r>
          </w:p>
        </w:tc>
      </w:tr>
      <w:tr w:rsidR="00D80224" w14:paraId="75EEF276" w14:textId="77777777" w:rsidTr="00D80224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EA147" w14:textId="2F5BD65F" w:rsidR="00D80224" w:rsidRDefault="00D80224" w:rsidP="00D80224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DE5CE" w14:textId="713BD120" w:rsidR="00D80224" w:rsidRDefault="00D80224" w:rsidP="00D80224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F</w:t>
            </w:r>
            <w:r w:rsidRPr="008C4F93">
              <w:rPr>
                <w:rFonts w:ascii="Times New Roman" w:hAnsi="Times New Roman"/>
                <w:b/>
                <w:bCs/>
                <w:sz w:val="22"/>
                <w:szCs w:val="22"/>
              </w:rPr>
              <w:t>ireman's knapsack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CE79" w14:textId="1ED2B7EE" w:rsidR="00D80224" w:rsidRDefault="00D80224" w:rsidP="00D80224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>5 Units</w:t>
            </w:r>
          </w:p>
        </w:tc>
      </w:tr>
      <w:tr w:rsidR="00D80224" w14:paraId="396536CC" w14:textId="77777777" w:rsidTr="00D80224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52AC7" w14:textId="14E6F051" w:rsidR="00D80224" w:rsidRDefault="00D80224" w:rsidP="00D80224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6FC5F" w14:textId="7A9E1882" w:rsidR="00D80224" w:rsidRDefault="00D80224" w:rsidP="00D80224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F</w:t>
            </w:r>
            <w:r w:rsidRPr="008C4F93">
              <w:rPr>
                <w:rFonts w:ascii="Times New Roman" w:hAnsi="Times New Roman"/>
                <w:b/>
                <w:bCs/>
                <w:sz w:val="22"/>
                <w:szCs w:val="22"/>
              </w:rPr>
              <w:t>lail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C8773" w14:textId="1E1F1F33" w:rsidR="00D80224" w:rsidRDefault="00D80224" w:rsidP="00D80224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>5 Units</w:t>
            </w:r>
          </w:p>
        </w:tc>
      </w:tr>
    </w:tbl>
    <w:p w14:paraId="27A10F82" w14:textId="77777777" w:rsidR="00884F0E" w:rsidRDefault="00884F0E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56058490" w14:textId="134F5357" w:rsidR="009B0CF1" w:rsidRPr="007B70EE" w:rsidRDefault="00D80224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Pr="0083478A">
        <w:rPr>
          <w:rFonts w:ascii="Times New Roman" w:hAnsi="Times New Roman"/>
          <w:sz w:val="22"/>
          <w:lang w:val="en-GB"/>
        </w:rPr>
        <w:t>Forest Estate „</w:t>
      </w:r>
      <w:proofErr w:type="gramStart"/>
      <w:r w:rsidRPr="0083478A">
        <w:rPr>
          <w:rFonts w:ascii="Times New Roman" w:hAnsi="Times New Roman"/>
          <w:sz w:val="22"/>
          <w:lang w:val="en-GB"/>
        </w:rPr>
        <w:t xml:space="preserve">Banat“ </w:t>
      </w:r>
      <w:proofErr w:type="spellStart"/>
      <w:r w:rsidRPr="0083478A">
        <w:rPr>
          <w:rFonts w:ascii="Times New Roman" w:hAnsi="Times New Roman"/>
          <w:sz w:val="22"/>
          <w:lang w:val="en-GB"/>
        </w:rPr>
        <w:t>Pančevo</w:t>
      </w:r>
      <w:proofErr w:type="spellEnd"/>
      <w:proofErr w:type="gramEnd"/>
      <w:r w:rsidRPr="0083478A">
        <w:rPr>
          <w:rFonts w:ascii="Times New Roman" w:hAnsi="Times New Roman"/>
          <w:sz w:val="22"/>
          <w:lang w:val="en-GB"/>
        </w:rPr>
        <w:t xml:space="preserve">, </w:t>
      </w:r>
      <w:proofErr w:type="spellStart"/>
      <w:r w:rsidR="00F605F4" w:rsidRPr="00F605F4">
        <w:rPr>
          <w:rFonts w:ascii="Times New Roman" w:hAnsi="Times New Roman"/>
          <w:sz w:val="22"/>
          <w:lang w:val="en-GB"/>
        </w:rPr>
        <w:t>Maksima</w:t>
      </w:r>
      <w:proofErr w:type="spellEnd"/>
      <w:r w:rsidR="00F605F4" w:rsidRPr="00F605F4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F605F4" w:rsidRPr="00F605F4">
        <w:rPr>
          <w:rFonts w:ascii="Times New Roman" w:hAnsi="Times New Roman"/>
          <w:sz w:val="22"/>
          <w:lang w:val="en-GB"/>
        </w:rPr>
        <w:t>Gorkog</w:t>
      </w:r>
      <w:proofErr w:type="spellEnd"/>
      <w:r w:rsidR="00F605F4" w:rsidRPr="00F605F4">
        <w:rPr>
          <w:rFonts w:ascii="Times New Roman" w:hAnsi="Times New Roman"/>
          <w:sz w:val="22"/>
          <w:lang w:val="en-GB"/>
        </w:rPr>
        <w:t xml:space="preserve"> 24</w:t>
      </w:r>
      <w:r w:rsidR="00F605F4">
        <w:rPr>
          <w:rFonts w:ascii="Times New Roman" w:hAnsi="Times New Roman"/>
          <w:sz w:val="22"/>
          <w:lang w:val="en-GB"/>
        </w:rPr>
        <w:t xml:space="preserve">, </w:t>
      </w:r>
      <w:proofErr w:type="spellStart"/>
      <w:r w:rsidR="00F605F4" w:rsidRPr="00F605F4">
        <w:rPr>
          <w:rFonts w:ascii="Times New Roman" w:hAnsi="Times New Roman"/>
          <w:sz w:val="22"/>
          <w:lang w:val="en-GB"/>
        </w:rPr>
        <w:t>Pančevo</w:t>
      </w:r>
      <w:proofErr w:type="spellEnd"/>
      <w:r w:rsidR="00F605F4">
        <w:rPr>
          <w:rFonts w:ascii="Times New Roman" w:hAnsi="Times New Roman"/>
          <w:sz w:val="22"/>
          <w:lang w:val="en-GB"/>
        </w:rPr>
        <w:t xml:space="preserve">, 26000, </w:t>
      </w:r>
      <w:r w:rsidRPr="0083478A">
        <w:rPr>
          <w:rFonts w:ascii="Times New Roman" w:hAnsi="Times New Roman"/>
          <w:sz w:val="22"/>
          <w:lang w:val="en-GB"/>
        </w:rPr>
        <w:t>Republic of Serbia</w:t>
      </w:r>
      <w:r w:rsidRPr="00B04B01">
        <w:rPr>
          <w:rFonts w:ascii="Times New Roman" w:hAnsi="Times New Roman"/>
          <w:sz w:val="22"/>
          <w:lang w:val="en-GB"/>
        </w:rPr>
        <w:t xml:space="preserve">, the time limits for </w:t>
      </w:r>
      <w:r w:rsidRPr="006405BB">
        <w:rPr>
          <w:rFonts w:ascii="Times New Roman" w:hAnsi="Times New Roman"/>
          <w:sz w:val="22"/>
          <w:lang w:val="en-GB"/>
        </w:rPr>
        <w:t xml:space="preserve">delivery shall be </w:t>
      </w:r>
      <w:r w:rsidR="006F7C7B" w:rsidRPr="006405BB">
        <w:rPr>
          <w:rFonts w:ascii="Times New Roman" w:hAnsi="Times New Roman"/>
          <w:sz w:val="22"/>
          <w:lang w:val="en-GB"/>
        </w:rPr>
        <w:t>3 (three)</w:t>
      </w:r>
      <w:r w:rsidRPr="006405BB">
        <w:rPr>
          <w:rFonts w:ascii="Times New Roman" w:hAnsi="Times New Roman"/>
          <w:sz w:val="22"/>
          <w:lang w:val="en-GB"/>
        </w:rPr>
        <w:t xml:space="preserve"> months</w:t>
      </w:r>
      <w:r w:rsidR="00930F73" w:rsidRPr="006405BB">
        <w:rPr>
          <w:rFonts w:ascii="Times New Roman" w:hAnsi="Times New Roman"/>
          <w:sz w:val="22"/>
          <w:lang w:val="en-GB"/>
        </w:rPr>
        <w:t xml:space="preserve"> </w:t>
      </w:r>
      <w:r w:rsidR="009B0CF1" w:rsidRPr="006405BB">
        <w:rPr>
          <w:rFonts w:ascii="Times New Roman" w:hAnsi="Times New Roman"/>
          <w:sz w:val="22"/>
          <w:lang w:val="en-GB"/>
        </w:rPr>
        <w:t xml:space="preserve">and the </w:t>
      </w:r>
      <w:r w:rsidR="009B0CF1" w:rsidRPr="007A3E71">
        <w:rPr>
          <w:rFonts w:ascii="Times New Roman" w:hAnsi="Times New Roman"/>
          <w:sz w:val="22"/>
          <w:lang w:val="en-GB"/>
        </w:rPr>
        <w:t>Incoterm applicable shall be DDP</w:t>
      </w:r>
      <w:r w:rsidR="00E2190B" w:rsidRPr="007A3E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7A3E71">
        <w:rPr>
          <w:rFonts w:ascii="Times New Roman" w:hAnsi="Times New Roman"/>
          <w:sz w:val="22"/>
          <w:lang w:val="en-GB"/>
        </w:rPr>
        <w:t xml:space="preserve">. The </w:t>
      </w:r>
      <w:r w:rsidR="00360344" w:rsidRPr="007A3E71">
        <w:rPr>
          <w:rFonts w:ascii="Times New Roman" w:hAnsi="Times New Roman"/>
          <w:sz w:val="22"/>
          <w:lang w:val="en-GB"/>
        </w:rPr>
        <w:t>implementation</w:t>
      </w:r>
      <w:r w:rsidR="009B0CF1" w:rsidRPr="007A3E71">
        <w:rPr>
          <w:rFonts w:ascii="Times New Roman" w:hAnsi="Times New Roman"/>
          <w:sz w:val="22"/>
          <w:lang w:val="en-GB"/>
        </w:rPr>
        <w:t xml:space="preserve"> period</w:t>
      </w:r>
      <w:r w:rsidR="00387E08" w:rsidRPr="007A3E71">
        <w:rPr>
          <w:rFonts w:ascii="Times New Roman" w:hAnsi="Times New Roman"/>
          <w:sz w:val="22"/>
          <w:lang w:val="en-GB"/>
        </w:rPr>
        <w:t xml:space="preserve"> of tasks</w:t>
      </w:r>
      <w:r w:rsidR="009B0CF1" w:rsidRPr="007A3E7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7A3E71">
        <w:rPr>
          <w:rFonts w:ascii="Times New Roman" w:hAnsi="Times New Roman"/>
          <w:sz w:val="22"/>
          <w:lang w:val="en-GB"/>
        </w:rPr>
        <w:t>signature of contract by both parties</w:t>
      </w:r>
      <w:r w:rsidR="00315611" w:rsidRPr="007A3E71">
        <w:rPr>
          <w:rFonts w:ascii="Times New Roman" w:hAnsi="Times New Roman"/>
          <w:sz w:val="22"/>
          <w:lang w:val="en-GB"/>
        </w:rPr>
        <w:t xml:space="preserve"> </w:t>
      </w:r>
      <w:r w:rsidR="009B0CF1" w:rsidRPr="007A3E71">
        <w:rPr>
          <w:rFonts w:ascii="Times New Roman" w:hAnsi="Times New Roman"/>
          <w:sz w:val="22"/>
          <w:lang w:val="en-GB"/>
        </w:rPr>
        <w:t xml:space="preserve">to </w:t>
      </w:r>
      <w:r w:rsidR="00073C0E" w:rsidRPr="007A3E71">
        <w:rPr>
          <w:rFonts w:ascii="Times New Roman" w:hAnsi="Times New Roman"/>
          <w:sz w:val="22"/>
          <w:lang w:val="en-GB"/>
        </w:rPr>
        <w:t xml:space="preserve">date </w:t>
      </w:r>
      <w:r w:rsidR="00073C0E" w:rsidRPr="00FE3E29">
        <w:rPr>
          <w:rFonts w:ascii="Times New Roman" w:hAnsi="Times New Roman"/>
          <w:sz w:val="22"/>
          <w:lang w:val="en-GB"/>
        </w:rPr>
        <w:t>for provisional acceptance</w:t>
      </w:r>
      <w:r w:rsidR="009B0CF1"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P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1BD915" w14:textId="2187AF43" w:rsidR="00AC2600" w:rsidRPr="00895CF3" w:rsidRDefault="004D2FD8" w:rsidP="00895CF3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BC242" w14:textId="77777777" w:rsidR="00507171" w:rsidRDefault="00507171">
      <w:r>
        <w:separator/>
      </w:r>
    </w:p>
    <w:p w14:paraId="188824F0" w14:textId="77777777" w:rsidR="00507171" w:rsidRDefault="00507171"/>
  </w:endnote>
  <w:endnote w:type="continuationSeparator" w:id="0">
    <w:p w14:paraId="569C7086" w14:textId="77777777" w:rsidR="00507171" w:rsidRDefault="00507171">
      <w:r>
        <w:continuationSeparator/>
      </w:r>
    </w:p>
    <w:p w14:paraId="4A95A796" w14:textId="77777777" w:rsidR="00507171" w:rsidRDefault="00507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FFF09" w14:textId="77777777" w:rsidR="00507171" w:rsidRDefault="00507171" w:rsidP="008056C4">
      <w:pPr>
        <w:spacing w:before="0" w:after="0"/>
      </w:pPr>
      <w:r>
        <w:separator/>
      </w:r>
    </w:p>
  </w:footnote>
  <w:footnote w:type="continuationSeparator" w:id="0">
    <w:p w14:paraId="09DC1B0D" w14:textId="77777777" w:rsidR="00507171" w:rsidRDefault="00507171">
      <w:r>
        <w:continuationSeparator/>
      </w:r>
    </w:p>
    <w:p w14:paraId="5C066C0E" w14:textId="77777777" w:rsidR="00507171" w:rsidRDefault="00507171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0889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C4306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0532"/>
    <w:rsid w:val="002426D3"/>
    <w:rsid w:val="002442B7"/>
    <w:rsid w:val="002527F1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B63FA"/>
    <w:rsid w:val="003C4E55"/>
    <w:rsid w:val="003D1A78"/>
    <w:rsid w:val="003D26FA"/>
    <w:rsid w:val="003D3CAA"/>
    <w:rsid w:val="003D6AA7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0E11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3B57"/>
    <w:rsid w:val="00507171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37B1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17D27"/>
    <w:rsid w:val="00623B00"/>
    <w:rsid w:val="00627EBD"/>
    <w:rsid w:val="006311FE"/>
    <w:rsid w:val="00633829"/>
    <w:rsid w:val="006405BB"/>
    <w:rsid w:val="006408AC"/>
    <w:rsid w:val="0066086C"/>
    <w:rsid w:val="006639E2"/>
    <w:rsid w:val="0066519D"/>
    <w:rsid w:val="006661F9"/>
    <w:rsid w:val="006668AB"/>
    <w:rsid w:val="00667C1A"/>
    <w:rsid w:val="00677500"/>
    <w:rsid w:val="0068104F"/>
    <w:rsid w:val="0068247E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E755C"/>
    <w:rsid w:val="006F5A0D"/>
    <w:rsid w:val="006F73F2"/>
    <w:rsid w:val="006F7C7B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3E71"/>
    <w:rsid w:val="007A4C4D"/>
    <w:rsid w:val="007A7E2A"/>
    <w:rsid w:val="007B65DB"/>
    <w:rsid w:val="007B70EE"/>
    <w:rsid w:val="007C0BDD"/>
    <w:rsid w:val="007C1656"/>
    <w:rsid w:val="007C5EBD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4F0E"/>
    <w:rsid w:val="008859E6"/>
    <w:rsid w:val="00895CF3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0F73"/>
    <w:rsid w:val="0093582A"/>
    <w:rsid w:val="0094670B"/>
    <w:rsid w:val="00963A3F"/>
    <w:rsid w:val="009642C9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3CC9"/>
    <w:rsid w:val="009E6BB7"/>
    <w:rsid w:val="009F2264"/>
    <w:rsid w:val="009F63A1"/>
    <w:rsid w:val="00A018D1"/>
    <w:rsid w:val="00A027CC"/>
    <w:rsid w:val="00A039CA"/>
    <w:rsid w:val="00A05FAD"/>
    <w:rsid w:val="00A20EF2"/>
    <w:rsid w:val="00A277DF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C7804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16D0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0224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1C4C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549E"/>
    <w:rsid w:val="00F56D4C"/>
    <w:rsid w:val="00F605F4"/>
    <w:rsid w:val="00F658F3"/>
    <w:rsid w:val="00F8016B"/>
    <w:rsid w:val="00F804E1"/>
    <w:rsid w:val="00F842CA"/>
    <w:rsid w:val="00F84C98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3812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Consultant Service</cp:lastModifiedBy>
  <cp:revision>15</cp:revision>
  <cp:lastPrinted>2012-10-22T09:58:00Z</cp:lastPrinted>
  <dcterms:created xsi:type="dcterms:W3CDTF">2024-06-13T15:28:00Z</dcterms:created>
  <dcterms:modified xsi:type="dcterms:W3CDTF">2025-05-13T05:17:00Z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