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 xml:space="preserve">The Commercial </w:t>
      </w:r>
      <w:proofErr w:type="gramStart"/>
      <w:r w:rsidRPr="00D15DCC">
        <w:rPr>
          <w:rFonts w:ascii="Times New Roman" w:hAnsi="Times New Roman"/>
          <w:sz w:val="22"/>
          <w:szCs w:val="22"/>
        </w:rPr>
        <w:t>guarantee</w:t>
      </w:r>
      <w:proofErr w:type="gramEnd"/>
      <w:r w:rsidRPr="00D15DCC">
        <w:rPr>
          <w:rFonts w:ascii="Times New Roman" w:hAnsi="Times New Roman"/>
          <w:sz w:val="22"/>
          <w:szCs w:val="22"/>
        </w:rPr>
        <w:t xml:space="preserve"> certificate, issued according to the relevant Serbian law covering the warranty period described in Article 32 - </w:t>
      </w:r>
      <w:proofErr w:type="gramStart"/>
      <w:r w:rsidRPr="00D15DCC">
        <w:rPr>
          <w:rFonts w:ascii="Times New Roman" w:hAnsi="Times New Roman"/>
          <w:sz w:val="22"/>
          <w:szCs w:val="22"/>
        </w:rPr>
        <w:t>has to</w:t>
      </w:r>
      <w:proofErr w:type="gramEnd"/>
      <w:r w:rsidRPr="00D15DCC">
        <w:rPr>
          <w:rFonts w:ascii="Times New Roman" w:hAnsi="Times New Roman"/>
          <w:sz w:val="22"/>
          <w:szCs w:val="22"/>
        </w:rPr>
        <w:t xml:space="preserve">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0309B22" w14:textId="094A5551" w:rsidR="00BB5E64" w:rsidRPr="00381D08" w:rsidRDefault="00E0396B" w:rsidP="00381D08">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81D08" w:rsidRPr="00381D08">
        <w:rPr>
          <w:rFonts w:ascii="Times New Roman" w:hAnsi="Times New Roman"/>
          <w:sz w:val="22"/>
          <w:szCs w:val="22"/>
        </w:rPr>
        <w:t xml:space="preserve">Contractor must comply with the Programme visibility rules available at: </w:t>
      </w:r>
      <w:hyperlink r:id="rId11" w:history="1">
        <w:r w:rsidR="00381D08" w:rsidRPr="00381D08">
          <w:rPr>
            <w:rStyle w:val="Hyperlink"/>
            <w:rFonts w:ascii="Times New Roman" w:hAnsi="Times New Roman"/>
            <w:sz w:val="22"/>
            <w:szCs w:val="22"/>
          </w:rPr>
          <w:t>https://romania-serbia.net/implementation/visibility/</w:t>
        </w:r>
      </w:hyperlink>
      <w:r w:rsidR="00381D08" w:rsidRPr="00381D08">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Pr="007D6F2D">
        <w:rPr>
          <w:sz w:val="22"/>
          <w:szCs w:val="22"/>
        </w:rPr>
        <w:t>ex factory</w:t>
      </w:r>
      <w:proofErr w:type="spellEnd"/>
      <w:r w:rsidRPr="007D6F2D">
        <w:rPr>
          <w:sz w:val="22"/>
          <w:szCs w:val="22"/>
        </w:rPr>
        <w:t>/warehouse)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2587BD16" w:rsidR="0047783A" w:rsidRPr="003D6B6C" w:rsidRDefault="00AC1107" w:rsidP="00381D08">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381D08">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w:t>
      </w:r>
      <w:proofErr w:type="gramStart"/>
      <w:r w:rsidRPr="00231EAA">
        <w:rPr>
          <w:rFonts w:ascii="Times New Roman" w:hAnsi="Times New Roman"/>
          <w:sz w:val="22"/>
        </w:rPr>
        <w:t>In particular and</w:t>
      </w:r>
      <w:proofErr w:type="gramEnd"/>
      <w:r w:rsidRPr="00231EAA">
        <w:rPr>
          <w:rFonts w:ascii="Times New Roman" w:hAnsi="Times New Roman"/>
          <w:sz w:val="22"/>
        </w:rPr>
        <w:t xml:space="preserve">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w:t>
      </w:r>
      <w:r w:rsidRPr="00231EAA">
        <w:rPr>
          <w:rFonts w:ascii="Times New Roman" w:hAnsi="Times New Roman"/>
          <w:sz w:val="22"/>
        </w:rPr>
        <w:lastRenderedPageBreak/>
        <w:t xml:space="preserve">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73609C68" w14:textId="0A23C7B5" w:rsidR="00C90CE6" w:rsidRPr="003D6B6C" w:rsidRDefault="00C90CE6" w:rsidP="00A4388F">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2F6EB4" w:rsidR="00C52305" w:rsidRPr="003D6B6C" w:rsidRDefault="00DE6B81" w:rsidP="00C52305">
      <w:pPr>
        <w:ind w:left="1134" w:hanging="709"/>
        <w:jc w:val="both"/>
        <w:rPr>
          <w:rFonts w:ascii="Times New Roman" w:hAnsi="Times New Roman"/>
          <w:sz w:val="22"/>
          <w:szCs w:val="22"/>
        </w:rPr>
      </w:pPr>
      <w:r>
        <w:rPr>
          <w:rFonts w:ascii="Times New Roman" w:hAnsi="Times New Roman"/>
          <w:sz w:val="22"/>
          <w:szCs w:val="22"/>
        </w:rPr>
        <w:tab/>
      </w: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02D741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 xml:space="preserve">No derogation from General </w:t>
      </w:r>
      <w:r w:rsidR="00DE6B81">
        <w:rPr>
          <w:rFonts w:ascii="Times New Roman" w:hAnsi="Times New Roman"/>
          <w:sz w:val="22"/>
          <w:szCs w:val="22"/>
        </w:rPr>
        <w:t>Conditions</w:t>
      </w:r>
      <w:r w:rsidR="00C90CE6">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357DDDF3" w:rsidR="0047783A" w:rsidRPr="002E3D18"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w:t>
      </w:r>
      <w:r w:rsidR="00F4150F" w:rsidRPr="002E3D18">
        <w:rPr>
          <w:rFonts w:ascii="Times New Roman" w:hAnsi="Times New Roman"/>
          <w:sz w:val="22"/>
          <w:szCs w:val="22"/>
        </w:rPr>
        <w:t xml:space="preserve">shall be </w:t>
      </w:r>
      <w:r w:rsidR="00A4388F" w:rsidRPr="002E3D18">
        <w:rPr>
          <w:rFonts w:ascii="Times New Roman" w:hAnsi="Times New Roman"/>
          <w:sz w:val="22"/>
          <w:szCs w:val="22"/>
        </w:rPr>
        <w:t>3 (three)</w:t>
      </w:r>
      <w:r w:rsidR="00DE6B81" w:rsidRPr="002E3D18">
        <w:rPr>
          <w:rFonts w:ascii="Times New Roman" w:hAnsi="Times New Roman"/>
          <w:sz w:val="22"/>
          <w:szCs w:val="22"/>
        </w:rPr>
        <w:t xml:space="preserve"> months</w:t>
      </w:r>
      <w:r w:rsidR="00F4150F" w:rsidRPr="002E3D18">
        <w:rPr>
          <w:rFonts w:ascii="Times New Roman" w:hAnsi="Times New Roman"/>
          <w:sz w:val="22"/>
          <w:szCs w:val="22"/>
        </w:rPr>
        <w:t xml:space="preserve"> from the commencement date until the provisional acceptance.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w:t>
      </w:r>
      <w:r>
        <w:rPr>
          <w:rFonts w:ascii="Times New Roman" w:hAnsi="Times New Roman"/>
          <w:sz w:val="22"/>
          <w:szCs w:val="22"/>
        </w:rPr>
        <w:lastRenderedPageBreak/>
        <w:t xml:space="preserve">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021EF8B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w:t>
      </w:r>
      <w:proofErr w:type="spellStart"/>
      <w:r w:rsidR="00F4150F" w:rsidRPr="00614162">
        <w:rPr>
          <w:rFonts w:ascii="Times New Roman" w:hAnsi="Times New Roman"/>
          <w:sz w:val="22"/>
          <w:szCs w:val="22"/>
        </w:rPr>
        <w:t>InforEuro</w:t>
      </w:r>
      <w:proofErr w:type="spellEnd"/>
      <w:r w:rsidR="00F4150F" w:rsidRPr="00614162">
        <w:rPr>
          <w:rFonts w:ascii="Times New Roman" w:hAnsi="Times New Roman"/>
          <w:sz w:val="22"/>
          <w:szCs w:val="22"/>
        </w:rPr>
        <w:t xml:space="preserve"> exchange rate for the month of issuing of invoice</w:t>
      </w:r>
      <w:r w:rsidR="00F4150F" w:rsidRPr="00356C60">
        <w:rPr>
          <w:rFonts w:ascii="Times New Roman" w:hAnsi="Times New Roman"/>
          <w:sz w:val="22"/>
          <w:szCs w:val="22"/>
        </w:rPr>
        <w:t>.</w:t>
      </w:r>
    </w:p>
    <w:p w14:paraId="09CCCA2B" w14:textId="1C7CE5E6" w:rsidR="0047783A" w:rsidRPr="003D6B6C" w:rsidRDefault="00DE6B81"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921980">
        <w:rPr>
          <w:rFonts w:ascii="Times New Roman" w:hAnsi="Times New Roman"/>
          <w:sz w:val="22"/>
        </w:rPr>
        <w:t>Public Enterprise “VOJVODINAŠUME”,</w:t>
      </w:r>
      <w:r>
        <w:rPr>
          <w:rFonts w:ascii="Times New Roman" w:hAnsi="Times New Roman"/>
          <w:sz w:val="22"/>
        </w:rPr>
        <w:t xml:space="preserve"> </w:t>
      </w:r>
      <w:proofErr w:type="spellStart"/>
      <w:r w:rsidRPr="00921980">
        <w:rPr>
          <w:rFonts w:ascii="Times New Roman" w:hAnsi="Times New Roman"/>
          <w:sz w:val="22"/>
        </w:rPr>
        <w:t>Preradovićeva</w:t>
      </w:r>
      <w:proofErr w:type="spellEnd"/>
      <w:r w:rsidRPr="00921980">
        <w:rPr>
          <w:rFonts w:ascii="Times New Roman" w:hAnsi="Times New Roman"/>
          <w:sz w:val="22"/>
        </w:rPr>
        <w:t xml:space="preserve"> 2, 21131 </w:t>
      </w:r>
      <w:proofErr w:type="spellStart"/>
      <w:r w:rsidRPr="00921980">
        <w:rPr>
          <w:rFonts w:ascii="Times New Roman" w:hAnsi="Times New Roman"/>
          <w:sz w:val="22"/>
        </w:rPr>
        <w:t>Petrovaradin</w:t>
      </w:r>
      <w:proofErr w:type="spellEnd"/>
      <w:r w:rsidRPr="00921980">
        <w:rPr>
          <w:rFonts w:ascii="Times New Roman" w:hAnsi="Times New Roman"/>
          <w:sz w:val="22"/>
        </w:rPr>
        <w:t>,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7777777"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lastRenderedPageBreak/>
        <w:t xml:space="preserve">29.1     </w:t>
      </w:r>
      <w:r w:rsidRPr="004A2D84">
        <w:rPr>
          <w:rFonts w:ascii="Times New Roman" w:hAnsi="Times New Roman"/>
          <w:sz w:val="22"/>
          <w:szCs w:val="22"/>
        </w:rPr>
        <w:t xml:space="preserve">The Contractor shall bear all risks relating to the goods until provisional acceptance at destination. The supplies shall be packaged </w:t>
      </w:r>
      <w:proofErr w:type="gramStart"/>
      <w:r w:rsidRPr="004A2D84">
        <w:rPr>
          <w:rFonts w:ascii="Times New Roman" w:hAnsi="Times New Roman"/>
          <w:sz w:val="22"/>
          <w:szCs w:val="22"/>
        </w:rPr>
        <w:t>so as to</w:t>
      </w:r>
      <w:proofErr w:type="gramEnd"/>
      <w:r w:rsidRPr="004A2D84">
        <w:rPr>
          <w:rFonts w:ascii="Times New Roman" w:hAnsi="Times New Roman"/>
          <w:sz w:val="22"/>
          <w:szCs w:val="22"/>
        </w:rPr>
        <w:t xml:space="preserve">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 xml:space="preserve">b) lot </w:t>
      </w:r>
      <w:proofErr w:type="gramStart"/>
      <w:r w:rsidRPr="000A7A9F">
        <w:rPr>
          <w:rFonts w:ascii="Times New Roman" w:hAnsi="Times New Roman"/>
          <w:sz w:val="22"/>
          <w:szCs w:val="22"/>
        </w:rPr>
        <w:t>number;</w:t>
      </w:r>
      <w:proofErr w:type="gramEnd"/>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 xml:space="preserve">or have been </w:t>
      </w:r>
      <w:proofErr w:type="gramStart"/>
      <w:r w:rsidRPr="0041281C">
        <w:rPr>
          <w:rFonts w:ascii="Times New Roman" w:hAnsi="Times New Roman"/>
          <w:sz w:val="22"/>
          <w:szCs w:val="22"/>
          <w:lang w:val="en-US"/>
        </w:rPr>
        <w:t>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have</w:t>
      </w:r>
      <w:proofErr w:type="gramEnd"/>
      <w:r w:rsidRPr="00CA4852">
        <w:rPr>
          <w:rFonts w:ascii="Times New Roman" w:hAnsi="Times New Roman"/>
          <w:sz w:val="22"/>
          <w:szCs w:val="22"/>
          <w:lang w:val="en-US"/>
        </w:rPr>
        <w:t xml:space="preser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w:t>
      </w:r>
      <w:proofErr w:type="gramStart"/>
      <w:r w:rsidRPr="00E5324E">
        <w:rPr>
          <w:rFonts w:ascii="Times New Roman" w:hAnsi="Times New Roman"/>
          <w:sz w:val="22"/>
          <w:szCs w:val="22"/>
          <w:lang w:val="en-US"/>
        </w:rPr>
        <w:t>particular item/product</w:t>
      </w:r>
      <w:proofErr w:type="gramEnd"/>
      <w:r w:rsidRPr="00E5324E">
        <w:rPr>
          <w:rFonts w:ascii="Times New Roman" w:hAnsi="Times New Roman"/>
          <w:sz w:val="22"/>
          <w:szCs w:val="22"/>
          <w:lang w:val="en-US"/>
        </w:rPr>
        <w:t xml:space="preserve">)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w:t>
      </w:r>
      <w:proofErr w:type="spellStart"/>
      <w:r w:rsidRPr="003A7613">
        <w:rPr>
          <w:rFonts w:ascii="Times New Roman" w:hAnsi="Times New Roman"/>
          <w:sz w:val="22"/>
          <w:szCs w:val="22"/>
        </w:rPr>
        <w:t>ePRAG</w:t>
      </w:r>
      <w:proofErr w:type="spellEnd"/>
      <w:r w:rsidRPr="003A7613">
        <w:rPr>
          <w:rFonts w:ascii="Times New Roman" w:hAnsi="Times New Roman"/>
          <w:sz w:val="22"/>
          <w:szCs w:val="22"/>
        </w:rPr>
        <w:t>.</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3CED7" w14:textId="77777777" w:rsidR="00F129D7" w:rsidRPr="006A5F84" w:rsidRDefault="00F129D7">
      <w:r w:rsidRPr="006A5F84">
        <w:separator/>
      </w:r>
    </w:p>
  </w:endnote>
  <w:endnote w:type="continuationSeparator" w:id="0">
    <w:p w14:paraId="2070B7FF" w14:textId="77777777" w:rsidR="00F129D7" w:rsidRPr="006A5F84" w:rsidRDefault="00F129D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0F186" w14:textId="77777777" w:rsidR="00F129D7" w:rsidRPr="006A5F84" w:rsidRDefault="00F129D7">
      <w:r w:rsidRPr="006A5F84">
        <w:separator/>
      </w:r>
    </w:p>
  </w:footnote>
  <w:footnote w:type="continuationSeparator" w:id="0">
    <w:p w14:paraId="1D6F83BD" w14:textId="77777777" w:rsidR="00F129D7" w:rsidRPr="006A5F84" w:rsidRDefault="00F129D7">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E7B75"/>
    <w:rsid w:val="000F1339"/>
    <w:rsid w:val="000F5F5F"/>
    <w:rsid w:val="000F7300"/>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3D18"/>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1D08"/>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0F66"/>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3B57"/>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8AB"/>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34EBD"/>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CAC"/>
    <w:rsid w:val="00A11F12"/>
    <w:rsid w:val="00A121CA"/>
    <w:rsid w:val="00A12C4F"/>
    <w:rsid w:val="00A1746F"/>
    <w:rsid w:val="00A2645C"/>
    <w:rsid w:val="00A41B28"/>
    <w:rsid w:val="00A4388F"/>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4B8D"/>
    <w:rsid w:val="00DC50E2"/>
    <w:rsid w:val="00DC54A0"/>
    <w:rsid w:val="00DC6C9C"/>
    <w:rsid w:val="00DD0624"/>
    <w:rsid w:val="00DD13B0"/>
    <w:rsid w:val="00DD2B6E"/>
    <w:rsid w:val="00DD5838"/>
    <w:rsid w:val="00DE13B8"/>
    <w:rsid w:val="00DE6B81"/>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29D7"/>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76CEC"/>
    <w:rsid w:val="00F8016B"/>
    <w:rsid w:val="00F804E1"/>
    <w:rsid w:val="00F842CA"/>
    <w:rsid w:val="00F86699"/>
    <w:rsid w:val="00F874CE"/>
    <w:rsid w:val="00F87ABC"/>
    <w:rsid w:val="00F87F88"/>
    <w:rsid w:val="00F90A9F"/>
    <w:rsid w:val="00F91DF6"/>
    <w:rsid w:val="00F94745"/>
    <w:rsid w:val="00F962E3"/>
    <w:rsid w:val="00FA0F2B"/>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 w:type="character" w:styleId="UnresolvedMention">
    <w:name w:val="Unresolved Mention"/>
    <w:uiPriority w:val="99"/>
    <w:semiHidden/>
    <w:unhideWhenUsed/>
    <w:rsid w:val="00381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mania-serbia.net/implementation/visibili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6</Pages>
  <Words>2085</Words>
  <Characters>11891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13949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50</cp:revision>
  <cp:lastPrinted>2014-02-11T14:32:00Z</cp:lastPrinted>
  <dcterms:created xsi:type="dcterms:W3CDTF">2018-12-18T11:40:00Z</dcterms:created>
  <dcterms:modified xsi:type="dcterms:W3CDTF">2025-04-25T12:41:00Z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